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12" w:before="114" w:after="114"/>
        <w:jc w:val="center"/>
        <w:rPr>
          <w:i w:val="false"/>
          <w:i w:val="false"/>
          <w:iCs w:val="false"/>
          <w:color w:val="000000"/>
          <w:sz w:val="16"/>
          <w:szCs w:val="16"/>
        </w:rPr>
      </w:pPr>
      <w:r>
        <w:rPr>
          <w:i w:val="false"/>
          <w:iCs w:val="false"/>
          <w:color w:val="000000"/>
          <w:sz w:val="16"/>
          <w:szCs w:val="16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12" w:before="0" w:after="0"/>
        <w:jc w:val="center"/>
        <w:rPr>
          <w:i w:val="false"/>
          <w:i w:val="false"/>
          <w:iCs w:val="false"/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MINISTÉRIO DA DEFESA</w:t>
      </w:r>
    </w:p>
    <w:p>
      <w:pPr>
        <w:pStyle w:val="Normal"/>
        <w:spacing w:lineRule="auto" w:line="312" w:before="0" w:after="0"/>
        <w:jc w:val="center"/>
        <w:rPr>
          <w:i w:val="false"/>
          <w:i w:val="false"/>
          <w:iCs w:val="false"/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EXÉRCITO BRASILEIRO</w:t>
      </w:r>
    </w:p>
    <w:p>
      <w:pPr>
        <w:pStyle w:val="Normal"/>
        <w:spacing w:lineRule="auto" w:line="312" w:before="0" w:after="0"/>
        <w:jc w:val="center"/>
        <w:rPr>
          <w:i w:val="false"/>
          <w:i w:val="false"/>
          <w:iCs w:val="false"/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COMANDO DA 1ª REGIÃO MILITAR</w:t>
      </w:r>
    </w:p>
    <w:p>
      <w:pPr>
        <w:pStyle w:val="Normal"/>
        <w:spacing w:lineRule="auto" w:line="312" w:before="0" w:after="0"/>
        <w:jc w:val="center"/>
        <w:rPr>
          <w:i w:val="false"/>
          <w:i w:val="false"/>
          <w:iCs w:val="false"/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(4º Distrito Militar/1891)</w:t>
      </w:r>
    </w:p>
    <w:p>
      <w:pPr>
        <w:pStyle w:val="Normal"/>
        <w:spacing w:lineRule="auto" w:line="312" w:before="18" w:after="0"/>
        <w:jc w:val="center"/>
        <w:rPr>
          <w:i w:val="false"/>
          <w:i w:val="false"/>
          <w:iCs w:val="false"/>
          <w:color w:val="000000"/>
        </w:rPr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REGIÃO MARECHAL HERMES DA FONSECA</w:t>
      </w:r>
    </w:p>
    <w:p>
      <w:pPr>
        <w:pStyle w:val="Normal"/>
        <w:spacing w:lineRule="auto" w:line="312" w:before="360" w:after="288"/>
        <w:jc w:val="center"/>
        <w:rPr/>
      </w:pPr>
      <w:r>
        <w:rPr>
          <w:rFonts w:eastAsia="Calibri" w:cs="Arial" w:ascii="Arial" w:hAnsi="Arial"/>
          <w:b/>
          <w:i w:val="false"/>
          <w:iCs w:val="false"/>
          <w:color w:val="000000"/>
          <w:sz w:val="20"/>
          <w:szCs w:val="20"/>
          <w:lang w:eastAsia="en-US"/>
        </w:rPr>
        <w:t>PREGÃO ELETRÔNICO Nº 90023/2025</w:t>
      </w:r>
    </w:p>
    <w:p>
      <w:pPr>
        <w:pStyle w:val="Normal"/>
        <w:spacing w:lineRule="auto" w:line="312" w:before="120" w:after="0"/>
        <w:jc w:val="center"/>
        <w:rPr/>
      </w:pP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 xml:space="preserve">Processo 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>Administrativo n</w:t>
      </w:r>
      <w:r>
        <w:rPr>
          <w:rFonts w:eastAsia="Calibri" w:cs="Arial" w:ascii="Arial" w:hAnsi="Arial"/>
          <w:bCs/>
          <w:i w:val="false"/>
          <w:iCs w:val="false"/>
          <w:color w:val="000000"/>
          <w:sz w:val="20"/>
          <w:szCs w:val="20"/>
          <w:lang w:eastAsia="en-US"/>
        </w:rPr>
        <w:t>° 64279.055483/2025-69</w:t>
      </w:r>
    </w:p>
    <w:p>
      <w:pPr>
        <w:pStyle w:val="Normal"/>
        <w:spacing w:lineRule="auto" w:line="312" w:before="0" w:after="288"/>
        <w:jc w:val="center"/>
        <w:rPr>
          <w:rFonts w:ascii="Arial" w:hAnsi="Arial" w:eastAsia="Calibri" w:cs="Times New Roman"/>
          <w:color w:val="000000"/>
          <w:sz w:val="20"/>
          <w:szCs w:val="22"/>
          <w:lang w:eastAsia="en-US"/>
        </w:rPr>
      </w:pP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Ata de Registro de Preços </w:t>
      </w:r>
      <w:r>
        <w:rPr>
          <w:rFonts w:eastAsia="Calibri" w:cs="Times New Roman" w:ascii="Arial" w:hAnsi="Arial"/>
          <w:color w:val="000000"/>
          <w:sz w:val="20"/>
          <w:szCs w:val="22"/>
          <w:lang w:eastAsia="en-US"/>
        </w:rPr>
        <w:t>nº</w:t>
      </w:r>
      <w:r>
        <w:rPr>
          <w:rFonts w:eastAsia="Calibri" w:cs="Arial" w:ascii="Arial" w:hAnsi="Arial"/>
          <w:color w:val="000000"/>
          <w:sz w:val="20"/>
          <w:szCs w:val="20"/>
          <w:lang w:eastAsia="en-US"/>
        </w:rPr>
        <w:t xml:space="preserve"> </w:t>
      </w:r>
      <w:r>
        <w:rPr>
          <w:rFonts w:eastAsia="Calibri" w:cs="Arial" w:ascii="Arial" w:hAnsi="Arial"/>
          <w:i w:val="false"/>
          <w:iCs w:val="false"/>
          <w:color w:val="000000"/>
          <w:sz w:val="20"/>
          <w:szCs w:val="20"/>
          <w:lang w:eastAsia="en-US"/>
        </w:rPr>
        <w:t>XX/XXXX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/>
      </w:pPr>
      <w:r>
        <w:rPr>
          <w:rFonts w:cs="Arial" w:ascii="Arial" w:hAnsi="Arial"/>
          <w:sz w:val="20"/>
          <w:szCs w:val="20"/>
        </w:rPr>
        <w:t>O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(A) [órgão ou entidade pública que gerenciará a ata de registro de preços], </w:t>
      </w:r>
      <w:r>
        <w:rPr>
          <w:rFonts w:eastAsia="Arial" w:cs="Arial" w:ascii="Arial" w:hAnsi="Arial"/>
          <w:i w:val="false"/>
          <w:iCs w:val="false"/>
          <w:color w:val="000000"/>
          <w:sz w:val="20"/>
          <w:szCs w:val="20"/>
        </w:rPr>
        <w:t>com sede no(a) [endereço], na cidade de [cidade]/[UF], inscrito(a) no CNPJ sob o nº [CNPJ], neste ato representado(a) pelo(a) [cargo e nome], nomeado(a) pela Portaria nº XX, de [dia] de [mês]</w:t>
      </w:r>
      <w:r>
        <w:rPr>
          <w:rFonts w:ascii="Arial" w:hAnsi="Arial"/>
          <w:i w:val="false"/>
          <w:iCs w:val="false"/>
          <w:color w:val="000000"/>
          <w:sz w:val="20"/>
        </w:rPr>
        <w:t xml:space="preserve"> </w:t>
      </w:r>
      <w:r>
        <w:rPr>
          <w:rFonts w:eastAsia="Arial" w:cs="Arial" w:ascii="Arial" w:hAnsi="Arial"/>
          <w:i w:val="false"/>
          <w:iCs w:val="false"/>
          <w:color w:val="000000"/>
          <w:sz w:val="20"/>
          <w:szCs w:val="20"/>
        </w:rPr>
        <w:t>de [ano], publicada no DOU de [dia] de [mês]</w:t>
      </w:r>
      <w:r>
        <w:rPr>
          <w:rFonts w:ascii="Arial" w:hAnsi="Arial"/>
          <w:i w:val="false"/>
          <w:iCs w:val="false"/>
          <w:color w:val="000000"/>
          <w:sz w:val="20"/>
        </w:rPr>
        <w:t xml:space="preserve"> </w:t>
      </w:r>
      <w:r>
        <w:rPr>
          <w:rFonts w:eastAsia="Arial" w:cs="Arial" w:ascii="Arial" w:hAnsi="Arial"/>
          <w:i w:val="false"/>
          <w:iCs w:val="false"/>
          <w:color w:val="000000"/>
          <w:sz w:val="20"/>
          <w:szCs w:val="20"/>
        </w:rPr>
        <w:t>de [ano], portador da Matrícula Funcional nº [nº matrícula],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 xml:space="preserve"> considerando o julgamento da [licitação na modalidade de pregão, na forma eletrônica] OU [procedimento de contratação direta], para REGISTRO DE PREÇOS nº 90023/2025, publicada no ...... de ...../...../202....., processo administrativo n.º </w:t>
      </w:r>
      <w:r>
        <w:rPr>
          <w:rFonts w:eastAsia="Calibri" w:cs="Arial" w:ascii="Arial" w:hAnsi="Arial"/>
          <w:bCs/>
          <w:i w:val="false"/>
          <w:iCs w:val="false"/>
          <w:color w:val="000000"/>
          <w:sz w:val="20"/>
          <w:szCs w:val="20"/>
          <w:lang w:eastAsia="en-US"/>
        </w:rPr>
        <w:t>64279.055483/2025-69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, RESOLVE registrar os preços da(s) empresa(s) indicada(s)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right="-28" w:firstLine="1418"/>
        <w:jc w:val="both"/>
        <w:rPr>
          <w:rFonts w:ascii="Arial" w:hAnsi="Arial" w:cs="Arial"/>
          <w:i w:val="false"/>
          <w:i w:val="false"/>
          <w:iCs w:val="false"/>
          <w:color w:val="000000"/>
        </w:rPr>
      </w:pPr>
      <w:r>
        <w:rPr>
          <w:sz w:val="14"/>
          <w:szCs w:val="14"/>
        </w:rPr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 OBJETO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A presente Ata tem por objeto o registro de preços para a eventual contratação de</w:t>
      </w:r>
      <w:r>
        <w:rPr>
          <w:rFonts w:eastAsia="Arial"/>
          <w:i w:val="false"/>
          <w:iCs w:val="false"/>
          <w:color w:val="000000"/>
        </w:rPr>
        <w:t xml:space="preserve"> Aquisição e instalação de persianas para a 1ª RM</w:t>
      </w:r>
      <w:r>
        <w:rPr>
          <w:i w:val="false"/>
          <w:iCs w:val="false"/>
          <w:color w:val="000000"/>
        </w:rPr>
        <w:t xml:space="preserve">, especificado no item 1 do Termo de Referência, anexo I do edital de licitação n.º </w:t>
      </w:r>
      <w:r>
        <w:rPr>
          <w:bCs/>
          <w:i w:val="false"/>
          <w:iCs w:val="false"/>
          <w:color w:val="000000"/>
        </w:rPr>
        <w:t>90023/2025</w:t>
      </w:r>
      <w:r>
        <w:rPr>
          <w:i w:val="false"/>
          <w:iCs w:val="false"/>
          <w:color w:val="000000"/>
        </w:rPr>
        <w:t xml:space="preserve">, </w:t>
      </w:r>
      <w:r>
        <w:rPr/>
        <w:t>que é parte integrante desta Ata, assim como as propostas cujos preços tenham sido registrados, independentemente de transcrição.</w:t>
      </w:r>
    </w:p>
    <w:p>
      <w:pPr>
        <w:pStyle w:val="Nivel2"/>
        <w:numPr>
          <w:ilvl w:val="0"/>
          <w:numId w:val="0"/>
        </w:numPr>
        <w:ind w:left="574" w:hanging="0"/>
        <w:rPr/>
      </w:pPr>
      <w:r>
        <w:rPr/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DOS PREÇOS, ESPECIFICAÇÕES 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3"/>
        <w:gridCol w:w="1253"/>
        <w:gridCol w:w="1539"/>
        <w:gridCol w:w="1121"/>
        <w:gridCol w:w="1119"/>
        <w:gridCol w:w="841"/>
        <w:gridCol w:w="840"/>
        <w:gridCol w:w="850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Fornecedor 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i w:val="false"/>
                <w:i w:val="false"/>
                <w:iCs w:val="false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sz w:val="16"/>
                <w:szCs w:val="16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sz w:val="20"/>
          <w:szCs w:val="20"/>
          <w:lang w:eastAsia="en-US"/>
        </w:rPr>
      </w:pPr>
      <w:r>
        <w:rPr>
          <w:rFonts w:cs="Arial" w:ascii="Arial" w:hAnsi="Arial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lang w:eastAsia="en-US"/>
        </w:rPr>
        <w:t>A listagem do cadastro de reserva referente ao presente registro de preços consta como anexo a esta Ata.</w:t>
      </w:r>
    </w:p>
    <w:p>
      <w:pPr>
        <w:pStyle w:val="Nivel2"/>
        <w:numPr>
          <w:ilvl w:val="0"/>
          <w:numId w:val="0"/>
        </w:numPr>
        <w:ind w:left="574" w:hanging="0"/>
        <w:rPr>
          <w:lang w:eastAsia="en-US"/>
        </w:rPr>
      </w:pPr>
      <w:r>
        <w:rPr/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>ÓRGÃO(S) GERENCIADOR E PARTICIPANTE(S)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i w:val="false"/>
          <w:iCs w:val="false"/>
          <w:color w:val="000000"/>
        </w:rPr>
        <w:t>O órgão gerenciador será o Comando da 1ª Região Militar.</w:t>
      </w:r>
    </w:p>
    <w:p>
      <w:pPr>
        <w:pStyle w:val="Nivel2"/>
        <w:numPr>
          <w:ilvl w:val="0"/>
          <w:numId w:val="0"/>
        </w:numPr>
        <w:ind w:left="574" w:hanging="0"/>
        <w:rPr>
          <w:i w:val="false"/>
          <w:i w:val="false"/>
          <w:iCs w:val="false"/>
          <w:color w:val="000000"/>
        </w:rPr>
      </w:pPr>
      <w:r>
        <w:rPr>
          <w:sz w:val="12"/>
          <w:szCs w:val="12"/>
        </w:rPr>
      </w:r>
    </w:p>
    <w:p>
      <w:pPr>
        <w:pStyle w:val="Nvel2Red"/>
        <w:numPr>
          <w:ilvl w:val="0"/>
          <w:numId w:val="1"/>
        </w:numPr>
        <w:rPr/>
      </w:pPr>
      <w:r>
        <w:rPr>
          <w:i w:val="false"/>
          <w:iCs w:val="false"/>
          <w:color w:val="000000"/>
        </w:rPr>
        <w:t>Não há órgãos participantes.</w:t>
      </w:r>
    </w:p>
    <w:p>
      <w:pPr>
        <w:pStyle w:val="Nvel2Red"/>
        <w:numPr>
          <w:ilvl w:val="0"/>
          <w:numId w:val="0"/>
        </w:numPr>
        <w:ind w:left="360" w:hanging="0"/>
        <w:rPr>
          <w:i w:val="false"/>
          <w:i w:val="false"/>
          <w:iCs w:val="false"/>
          <w:color w:val="000000"/>
        </w:rPr>
      </w:pPr>
      <w:r>
        <w:rPr>
          <w:sz w:val="12"/>
          <w:szCs w:val="12"/>
        </w:rPr>
      </w:r>
    </w:p>
    <w:p>
      <w:pPr>
        <w:pStyle w:val="Nivel01"/>
        <w:numPr>
          <w:ilvl w:val="0"/>
          <w:numId w:val="1"/>
        </w:numPr>
        <w:ind w:left="0" w:hanging="0"/>
        <w:rPr/>
      </w:pPr>
      <w:r>
        <w:rPr/>
        <w:t xml:space="preserve">DA ADESÃO À ATA DE REGISTRO DE PREÇOS </w:t>
      </w:r>
    </w:p>
    <w:p>
      <w:pPr>
        <w:pStyle w:val="Normal"/>
        <w:numPr>
          <w:ilvl w:val="0"/>
          <w:numId w:val="0"/>
        </w:numPr>
        <w:ind w:left="360" w:hanging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vel2Red"/>
        <w:numPr>
          <w:ilvl w:val="0"/>
          <w:numId w:val="1"/>
        </w:numPr>
        <w:rPr/>
      </w:pPr>
      <w:r>
        <w:rPr>
          <w:lang w:eastAsia="en-US"/>
        </w:rPr>
        <w:t xml:space="preserve"> </w:t>
      </w:r>
      <w:r>
        <w:rPr>
          <w:i w:val="false"/>
          <w:iCs w:val="false"/>
          <w:color w:val="000000"/>
          <w:lang w:eastAsia="en-US"/>
        </w:rPr>
        <w:t>Não será admitida a adesão à ata de registro de preços decorrente desta licitação ou desta contratação direta, conforme justificativa apresentada nos estudos técnicos preliminares.</w:t>
      </w:r>
      <w:r>
        <w:rPr/>
        <w:t>.</w:t>
      </w:r>
    </w:p>
    <w:p>
      <w:pPr>
        <w:pStyle w:val="SubTitNN"/>
        <w:rPr/>
      </w:pPr>
      <w:r>
        <w:rPr/>
        <w:t>Vedação a acréscimo de quantitativos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vedado efetuar acréscimos nos quantitativos fixados na ata de registro de preços.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/>
      </w:pPr>
      <w:r>
        <w:rPr/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>
          <w:color w:val="000000"/>
        </w:rPr>
        <w:t xml:space="preserve">A validade da Ata de Registro de Preços será de 1 (um) ano, contado a partir do primeiro dia útil subsequente à data de divulgação no PNCP, </w:t>
      </w:r>
      <w:r>
        <w:rPr>
          <w:color w:val="000000"/>
        </w:rPr>
        <w:t>podendo ser prorrogada por igual período, mediante a anuência do fornecedor, desde que comprovado o preço vantajoso</w:t>
      </w:r>
      <w:r>
        <w:rPr>
          <w:color w:val="000000"/>
        </w:rPr>
        <w:t>.</w:t>
      </w:r>
    </w:p>
    <w:p>
      <w:pPr>
        <w:pStyle w:val="Nivel2"/>
        <w:numPr>
          <w:ilvl w:val="0"/>
          <w:numId w:val="0"/>
        </w:numPr>
        <w:ind w:left="574" w:hanging="0"/>
        <w:rPr>
          <w:i w:val="false"/>
          <w:i w:val="false"/>
          <w:iCs w:val="false"/>
          <w:color w:val="auto"/>
          <w:highlight w:val="yellow"/>
        </w:rPr>
      </w:pPr>
      <w:r>
        <w:rPr>
          <w:sz w:val="12"/>
          <w:szCs w:val="12"/>
        </w:rPr>
      </w:r>
    </w:p>
    <w:p>
      <w:pPr>
        <w:pStyle w:val="Nvel3"/>
        <w:numPr>
          <w:ilvl w:val="0"/>
          <w:numId w:val="1"/>
        </w:numPr>
        <w:rPr/>
      </w:pPr>
      <w:r>
        <w:rPr/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0"/>
          <w:numId w:val="1"/>
        </w:numPr>
        <w:rPr/>
      </w:pPr>
      <w:r>
        <w:rPr/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contratação com os fornecedores registrados na ata será formalizada pelo órgão ou pela en</w:t>
      </w:r>
      <w:r>
        <w:rPr>
          <w:rFonts w:eastAsia="Arial"/>
        </w:rPr>
        <w:t>ti</w:t>
      </w:r>
      <w:r>
        <w:rPr/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0"/>
          <w:numId w:val="1"/>
        </w:numPr>
        <w:rPr/>
      </w:pPr>
      <w:r>
        <w:rPr/>
        <w:t>Serão registrados na ata os preços e os quantita</w:t>
      </w:r>
      <w:r>
        <w:rPr>
          <w:rFonts w:eastAsia="Arial"/>
        </w:rPr>
        <w:t>ti</w:t>
      </w:r>
      <w:r>
        <w:rPr/>
        <w:t>vos do adjudicatário, devendo ser observada a possibilidade de o licitante oferecer ou não proposta em quantitativo inferior ao máximo previsto no</w:t>
      </w:r>
      <w:r>
        <w:rPr>
          <w:i/>
          <w:iCs/>
        </w:rPr>
        <w:t xml:space="preserve"> </w:t>
      </w:r>
      <w:r>
        <w:rPr>
          <w:i/>
          <w:iCs/>
          <w:color w:val="000000"/>
        </w:rPr>
        <w:t>e</w:t>
      </w:r>
      <w:r>
        <w:rPr>
          <w:i/>
          <w:color w:val="000000"/>
        </w:rPr>
        <w:t>dital</w:t>
      </w:r>
      <w:r>
        <w:rPr>
          <w:i/>
          <w:color w:val="FF0000"/>
        </w:rPr>
        <w:t xml:space="preserve"> </w:t>
      </w:r>
      <w:r>
        <w:rPr/>
        <w:t>e se obrigar nos limites dela;</w:t>
      </w:r>
    </w:p>
    <w:p>
      <w:pPr>
        <w:pStyle w:val="Nvel3"/>
        <w:numPr>
          <w:ilvl w:val="0"/>
          <w:numId w:val="1"/>
        </w:numPr>
        <w:rPr/>
      </w:pPr>
      <w:r>
        <w:rPr/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Mantiverem sua proposta original. </w:t>
      </w:r>
      <w:bookmarkStart w:id="0" w:name="cadastro_reserva"/>
      <w:bookmarkEnd w:id="0"/>
    </w:p>
    <w:p>
      <w:pPr>
        <w:pStyle w:val="Nvel3"/>
        <w:numPr>
          <w:ilvl w:val="0"/>
          <w:numId w:val="1"/>
        </w:numPr>
        <w:rPr/>
      </w:pPr>
      <w:r>
        <w:rPr/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a que se refere o item 5.4.2</w:t>
      </w:r>
      <w:r>
        <w:rPr>
          <w:b/>
          <w:bCs/>
        </w:rPr>
        <w:t xml:space="preserve"> </w:t>
      </w:r>
      <w:r>
        <w:rPr/>
        <w:t>tem por obje</w:t>
      </w:r>
      <w:r>
        <w:rPr>
          <w:rFonts w:eastAsia="Arial"/>
        </w:rPr>
        <w:t>ti</w:t>
      </w:r>
      <w:r>
        <w:rPr/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A habilitação dos licitantes que comporão o cadastro de reserva a que se refere o item </w:t>
      </w:r>
      <w:r>
        <w:rPr/>
        <w:fldChar w:fldCharType="begin"/>
      </w:r>
      <w:r>
        <w:rPr/>
        <w:instrText> REF cadastro_reserva \r \h </w:instrText>
      </w:r>
      <w:r>
        <w:rPr/>
        <w:fldChar w:fldCharType="separate"/>
      </w:r>
      <w:r>
        <w:rPr/>
        <w:t>12.1.1.2</w:t>
      </w:r>
      <w:r>
        <w:rPr/>
        <w:fldChar w:fldCharType="end"/>
      </w:r>
      <w:r>
        <w:rPr/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0"/>
          <w:numId w:val="1"/>
        </w:numPr>
        <w:rPr/>
      </w:pPr>
      <w:r>
        <w:rPr/>
        <w:t>Quando o licitante vencedor não assinar a ata de registro de preços, no prazo e nas condições estabelecidos no</w:t>
      </w:r>
      <w:r>
        <w:rPr>
          <w:i w:val="false"/>
          <w:iCs w:val="false"/>
          <w:color w:val="000000"/>
          <w:u w:val="none"/>
        </w:rPr>
        <w:t xml:space="preserve"> </w:t>
      </w:r>
      <w:r>
        <w:rPr>
          <w:i w:val="false"/>
          <w:iCs w:val="false"/>
          <w:color w:val="000000"/>
          <w:u w:val="none"/>
        </w:rPr>
        <w:t>edital</w:t>
      </w:r>
      <w:r>
        <w:rPr>
          <w:i/>
          <w:iCs/>
          <w:color w:val="FF0000"/>
        </w:rPr>
        <w:t>;</w:t>
      </w:r>
      <w:r>
        <w:rPr>
          <w:color w:val="FF0000"/>
        </w:rPr>
        <w:t xml:space="preserve"> </w:t>
      </w:r>
      <w:r>
        <w:rPr/>
        <w:t>e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Quando houver o cancelamento do registro do licitante ou do registro de preços nas hipóteses previstas no item </w:t>
      </w:r>
      <w:r>
        <w:rPr/>
        <w:fldChar w:fldCharType="begin"/>
      </w:r>
      <w:r>
        <w:rPr/>
        <w:instrText> REF cancelamento \r \h </w:instrText>
      </w:r>
      <w:r>
        <w:rPr/>
        <w:fldChar w:fldCharType="separate"/>
      </w:r>
      <w:r>
        <w:rPr/>
        <w:t>37</w:t>
      </w:r>
      <w:r>
        <w:rPr/>
        <w:fldChar w:fldCharType="end"/>
      </w:r>
      <w:r>
        <w:rPr/>
        <w:t>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0"/>
          <w:numId w:val="1"/>
        </w:numPr>
        <w:rPr/>
      </w:pPr>
      <w:r>
        <w:rPr/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Quando o convocado não assinar a ata de registro de preços no prazo e nas condições estabelecidos no edital ou no aviso de contratação, e observado o disposto no item </w:t>
      </w:r>
      <w:r>
        <w:rPr/>
        <w:fldChar w:fldCharType="begin"/>
      </w:r>
      <w:r>
        <w:rPr/>
        <w:instrText> REF habilitacao_reserva \r \h </w:instrText>
      </w:r>
      <w:r>
        <w:rPr/>
        <w:fldChar w:fldCharType="separate"/>
      </w:r>
      <w:r>
        <w:rPr/>
        <w:t>Erro: Origem da referência não encontrada</w:t>
      </w:r>
      <w:r>
        <w:rPr/>
        <w:fldChar w:fldCharType="end"/>
      </w:r>
      <w:r>
        <w:rPr/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rPr/>
        <w:t xml:space="preserve">mado e sua eventual atualização nos termos </w:t>
      </w:r>
      <w:r>
        <w:rPr>
          <w:i w:val="false"/>
          <w:iCs w:val="false"/>
          <w:color w:val="000000"/>
        </w:rPr>
        <w:t xml:space="preserve">do </w:t>
      </w:r>
      <w:r>
        <w:rPr>
          <w:i w:val="false"/>
          <w:iCs w:val="false"/>
          <w:color w:val="000000"/>
        </w:rPr>
        <w:t>edital</w:t>
      </w:r>
      <w:r>
        <w:rPr>
          <w:i w:val="false"/>
          <w:iCs w:val="false"/>
          <w:color w:val="000000"/>
        </w:rPr>
        <w:t>,</w:t>
      </w:r>
      <w:r>
        <w:rPr/>
        <w:t xml:space="preserve"> poderá:</w:t>
      </w:r>
    </w:p>
    <w:p>
      <w:pPr>
        <w:pStyle w:val="Nvel3"/>
        <w:numPr>
          <w:ilvl w:val="0"/>
          <w:numId w:val="1"/>
        </w:numPr>
        <w:rPr/>
      </w:pPr>
      <w:r>
        <w:rPr/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0"/>
          <w:numId w:val="1"/>
        </w:numPr>
        <w:rPr/>
      </w:pPr>
      <w:r>
        <w:rPr/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/>
      </w:pPr>
      <w:r>
        <w:rPr/>
        <w:t>ALTERAÇÃO OU ATUALIZAÇÃO DOS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rPr/>
        <w:t>cados no mercado ou de fato que eleve o custo dos bens, das obras ou dos serviços registrados, nas seguintes situações:</w:t>
      </w:r>
    </w:p>
    <w:p>
      <w:pPr>
        <w:pStyle w:val="Nvel3"/>
        <w:numPr>
          <w:ilvl w:val="0"/>
          <w:numId w:val="1"/>
        </w:numPr>
        <w:rPr/>
      </w:pPr>
      <w:r>
        <w:rPr/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</w:t>
      </w:r>
      <w:r>
        <w:rPr>
          <w:color w:val="0000EF"/>
        </w:rPr>
        <w:t>;</w:t>
      </w:r>
    </w:p>
    <w:p>
      <w:pPr>
        <w:pStyle w:val="Nvel3"/>
        <w:numPr>
          <w:ilvl w:val="0"/>
          <w:numId w:val="1"/>
        </w:numPr>
        <w:rPr/>
      </w:pPr>
      <w:r>
        <w:rPr/>
        <w:t>Em caso de criação, alteração ou ex</w:t>
      </w:r>
      <w:r>
        <w:rPr>
          <w:rFonts w:eastAsia="Calibri"/>
        </w:rPr>
        <w:t>ti</w:t>
      </w:r>
      <w:r>
        <w:rPr/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0"/>
          <w:numId w:val="1"/>
        </w:numPr>
        <w:rPr/>
      </w:pPr>
      <w:r>
        <w:rPr/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spacing w:before="177" w:after="177"/>
        <w:ind w:left="0" w:hanging="0"/>
        <w:rPr/>
      </w:pPr>
      <w:r>
        <w:rPr/>
        <w:t>NEGOCIAÇÃO DE PREÇOS REGISTRADOS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registrado tornar-se superior ao preço pra</w:t>
      </w:r>
      <w:r>
        <w:rPr>
          <w:rFonts w:eastAsia="Calibri"/>
        </w:rPr>
        <w:t>ti</w:t>
      </w:r>
      <w:r>
        <w:rPr/>
        <w:t>cado no mercado por mo</w:t>
      </w:r>
      <w:r>
        <w:rPr>
          <w:rFonts w:eastAsia="Calibri"/>
        </w:rPr>
        <w:t>ti</w:t>
      </w:r>
      <w:r>
        <w:rPr/>
        <w:t>vo superveniente, o órgão ou en</w:t>
      </w:r>
      <w:r>
        <w:rPr>
          <w:rFonts w:eastAsia="Calibri"/>
        </w:rPr>
        <w:t>ti</w:t>
      </w:r>
      <w:r>
        <w:rPr/>
        <w:t>dade gerenciadora convocará o fornecedor para negociar a redução do preço registrado.</w:t>
      </w:r>
    </w:p>
    <w:p>
      <w:pPr>
        <w:pStyle w:val="Nvel3"/>
        <w:numPr>
          <w:ilvl w:val="0"/>
          <w:numId w:val="1"/>
        </w:numPr>
        <w:rPr/>
      </w:pPr>
      <w:r>
        <w:rPr/>
        <w:t>Caso não aceite reduzir seu preço aos valores pra</w:t>
      </w:r>
      <w:r>
        <w:rPr>
          <w:rFonts w:eastAsia="Calibri"/>
        </w:rPr>
        <w:t>ti</w:t>
      </w:r>
      <w:r>
        <w:rPr/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0"/>
          <w:numId w:val="1"/>
        </w:numPr>
        <w:rPr/>
      </w:pPr>
      <w:r>
        <w:rPr/>
        <w:t>Se não obtiver êxito nas negociações, o órgão ou en</w:t>
      </w:r>
      <w:r>
        <w:rPr>
          <w:rFonts w:eastAsia="Calibri"/>
        </w:rPr>
        <w:t>tid</w:t>
      </w:r>
      <w:r>
        <w:rPr/>
        <w:t>ade gerenciadora procederá ao cancelamento da ata de registro de preços, adotando as medidas cabíveis para obtenção de contratação mais vantajosa.</w:t>
      </w:r>
      <w:bookmarkStart w:id="1" w:name="reducao_preco_mercado_negociacao_frustra"/>
      <w:bookmarkEnd w:id="1"/>
    </w:p>
    <w:p>
      <w:pPr>
        <w:pStyle w:val="Nvel3"/>
        <w:numPr>
          <w:ilvl w:val="0"/>
          <w:numId w:val="1"/>
        </w:numPr>
        <w:rPr/>
      </w:pPr>
      <w:r>
        <w:rPr>
          <w:rFonts w:cs="Calibri" w:ascii="Calibri" w:hAnsi="Calibri"/>
        </w:rPr>
        <w:t>Na hipótese de</w:t>
      </w:r>
      <w:r>
        <w:rPr/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2" w:name="hipotese_preco_mercado_maior"/>
      <w:bookmarkEnd w:id="2"/>
    </w:p>
    <w:p>
      <w:pPr>
        <w:pStyle w:val="Nvel3"/>
        <w:numPr>
          <w:ilvl w:val="0"/>
          <w:numId w:val="1"/>
        </w:numPr>
        <w:rPr/>
      </w:pPr>
      <w:r>
        <w:rPr/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3" w:name="prova_preco_mercado_maior"/>
      <w:bookmarkEnd w:id="3"/>
    </w:p>
    <w:p>
      <w:pPr>
        <w:pStyle w:val="Nvel3"/>
        <w:numPr>
          <w:ilvl w:val="0"/>
          <w:numId w:val="1"/>
        </w:numPr>
        <w:rPr/>
      </w:pPr>
      <w:r>
        <w:rPr/>
        <w:t>Na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rPr/>
        <w:t xml:space="preserve">dade gerenciadora e o fornecedor deverá cumprir as obrigações estabelecidas na ata, sob pena de cancelamento do seu registro, nos termos do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37.1</w:t>
      </w:r>
      <w:r>
        <w:rPr/>
        <w:fldChar w:fldCharType="end"/>
      </w:r>
      <w:r>
        <w:rPr/>
        <w:t>, sem prejuízo das sanções previstas na Lei nº 14.133, de 2021, e na legislação aplicável.</w:t>
      </w:r>
    </w:p>
    <w:p>
      <w:pPr>
        <w:pStyle w:val="Nvel3"/>
        <w:numPr>
          <w:ilvl w:val="0"/>
          <w:numId w:val="1"/>
        </w:numPr>
        <w:rPr/>
      </w:pPr>
      <w:r>
        <w:rPr/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Se não obtiver êxito nas negociações, o órgão ou entidade gerenciadora procederá ao cancelamento da ata de registro de preços, nos termos do item </w:t>
      </w:r>
      <w:r>
        <w:rPr/>
        <w:fldChar w:fldCharType="begin"/>
      </w:r>
      <w:r>
        <w:rPr/>
        <w:instrText> REF cancelamento_da_ata \r \h </w:instrText>
      </w:r>
      <w:r>
        <w:rPr/>
        <w:fldChar w:fldCharType="separate"/>
      </w:r>
      <w:r>
        <w:rPr/>
        <w:t>41.4</w:t>
      </w:r>
      <w:r>
        <w:rPr/>
        <w:fldChar w:fldCharType="end"/>
      </w:r>
      <w:r>
        <w:rPr/>
        <w:t>, e adotará as medidas cabíveis para a obtenção da contratação mais vantajosa.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Na hipótese de comprovação da majoração do preço de mercado que inviabilize o preço registrado, conforme previsto no item </w:t>
      </w:r>
      <w:r>
        <w:rPr/>
        <w:fldChar w:fldCharType="begin"/>
      </w:r>
      <w:r>
        <w:rPr/>
        <w:instrText> REF hipotese_preco_mercado_maior \r \h </w:instrText>
      </w:r>
      <w:r>
        <w:rPr/>
        <w:fldChar w:fldCharType="separate"/>
      </w:r>
      <w:r>
        <w:rPr/>
        <w:t>27.1</w:t>
      </w:r>
      <w:r>
        <w:rPr/>
        <w:fldChar w:fldCharType="end"/>
      </w:r>
      <w:r>
        <w:rPr/>
        <w:t xml:space="preserve"> e no item </w:t>
      </w:r>
      <w:r>
        <w:rPr/>
        <w:fldChar w:fldCharType="begin"/>
      </w:r>
      <w:r>
        <w:rPr/>
        <w:instrText> REF prova_preco_mercado_maior \r \h </w:instrText>
      </w:r>
      <w:r>
        <w:rPr/>
        <w:fldChar w:fldCharType="separate"/>
      </w:r>
      <w:r>
        <w:rPr/>
        <w:t>28</w:t>
      </w:r>
      <w:r>
        <w:rPr/>
        <w:fldChar w:fldCharType="end"/>
      </w:r>
      <w:r>
        <w:rPr/>
        <w:t>, o órgão ou en</w:t>
      </w:r>
      <w:r>
        <w:rPr>
          <w:rFonts w:eastAsia="Calibri"/>
        </w:rPr>
        <w:t>ti</w:t>
      </w:r>
      <w:r>
        <w:rPr/>
        <w:t>dade gerenciadora atualizará o preço registrado, de acordo com a realidade dos valores praticados pelo mercado.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O órgão ou en</w:t>
      </w:r>
      <w:r>
        <w:rPr>
          <w:rFonts w:eastAsia="Calibri"/>
        </w:rPr>
        <w:t>ti</w:t>
      </w:r>
      <w:r>
        <w:rPr/>
        <w:t>dade gerenciadora comunicará aos órgãos e às en</w:t>
      </w:r>
      <w:r>
        <w:rPr>
          <w:rFonts w:eastAsia="Calibri"/>
        </w:rPr>
        <w:t>ti</w:t>
      </w:r>
      <w:r>
        <w:rPr/>
        <w:t xml:space="preserve">dades que </w:t>
      </w:r>
      <w:r>
        <w:rPr>
          <w:rFonts w:eastAsia="Calibri"/>
        </w:rPr>
        <w:t>ti</w:t>
      </w:r>
      <w:r>
        <w:rPr/>
        <w:t>verem firmado contratos decorrentes da ata de registro de preços sobre a efe</w:t>
      </w:r>
      <w:r>
        <w:rPr>
          <w:rFonts w:eastAsia="Calibri"/>
        </w:rPr>
        <w:t>ti</w:t>
      </w:r>
      <w:r>
        <w:rPr/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spacing w:before="177" w:after="177"/>
        <w:ind w:left="0" w:hanging="0"/>
        <w:rPr/>
      </w:pPr>
      <w:r>
        <w:rPr/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As quan</w:t>
      </w:r>
      <w:r>
        <w:rPr>
          <w:rFonts w:eastAsia="Arial"/>
        </w:rPr>
        <w:t>ti</w:t>
      </w:r>
      <w:r>
        <w:rPr/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rPr/>
        <w:t>dade gerenciadora entre os órgãos ou as en</w:t>
      </w:r>
      <w:r>
        <w:rPr>
          <w:rFonts w:eastAsia="Arial"/>
        </w:rPr>
        <w:t>ti</w:t>
      </w:r>
      <w:r>
        <w:rPr/>
        <w:t>dades par</w:t>
      </w:r>
      <w:r>
        <w:rPr>
          <w:rFonts w:eastAsia="Arial"/>
        </w:rPr>
        <w:t>ti</w:t>
      </w:r>
      <w:r>
        <w:rPr/>
        <w:t>cipantes e não par</w:t>
      </w:r>
      <w:r>
        <w:rPr>
          <w:rFonts w:eastAsia="Arial"/>
        </w:rPr>
        <w:t>ti</w:t>
      </w:r>
      <w:r>
        <w:rPr/>
        <w:t>cipantes do registro de preços.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>O remanejamento somente poderá ser feito:</w:t>
      </w:r>
    </w:p>
    <w:p>
      <w:pPr>
        <w:pStyle w:val="Nvel3"/>
        <w:numPr>
          <w:ilvl w:val="0"/>
          <w:numId w:val="1"/>
        </w:numPr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cipante; ou</w:t>
      </w:r>
    </w:p>
    <w:p>
      <w:pPr>
        <w:pStyle w:val="Nvel3"/>
        <w:numPr>
          <w:ilvl w:val="0"/>
          <w:numId w:val="1"/>
        </w:numPr>
        <w:rPr/>
      </w:pPr>
      <w:r>
        <w:rPr/>
        <w:t>De órgão ou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 para órgão ou entidade não participante.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</w:t>
      </w:r>
      <w:r>
        <w:rPr>
          <w:rFonts w:eastAsia="Arial"/>
        </w:rPr>
        <w:t>ti</w:t>
      </w:r>
      <w:r>
        <w:rPr/>
        <w:t>dade gerenciadora que tiver es</w:t>
      </w:r>
      <w:r>
        <w:rPr>
          <w:rFonts w:eastAsia="Arial"/>
        </w:rPr>
        <w:t>ti</w:t>
      </w:r>
      <w:r>
        <w:rPr/>
        <w:t>mado as quan</w:t>
      </w:r>
      <w:r>
        <w:rPr>
          <w:rFonts w:eastAsia="Arial"/>
        </w:rPr>
        <w:t>ti</w:t>
      </w:r>
      <w:r>
        <w:rPr/>
        <w:t>dades que pretende contratar será considerado participante para efeito do remanejamento.</w:t>
      </w:r>
      <w:bookmarkStart w:id="4" w:name="gerenciador_estimador_%25C3%25A9_partic_"/>
      <w:bookmarkEnd w:id="4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remanejamento de órgão ou entidade par</w:t>
      </w:r>
      <w:r>
        <w:rPr>
          <w:rFonts w:eastAsia="Arial"/>
        </w:rPr>
        <w:t>ti</w:t>
      </w:r>
      <w:r>
        <w:rPr/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Competirá ao órgão ou à en</w:t>
      </w:r>
      <w:r>
        <w:rPr>
          <w:rFonts w:eastAsia="Arial"/>
        </w:rPr>
        <w:t>ti</w:t>
      </w:r>
      <w:r>
        <w:rPr/>
        <w:t>dade gerenciadora autorizar o remanejamento solicitado, com a redução do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 inicialmente informado pelo órgão ou pela en</w:t>
      </w:r>
      <w:r>
        <w:rPr>
          <w:rFonts w:eastAsia="Arial"/>
        </w:rPr>
        <w:t>ti</w:t>
      </w:r>
      <w:r>
        <w:rPr/>
        <w:t>dade par</w:t>
      </w:r>
      <w:r>
        <w:rPr>
          <w:rFonts w:eastAsia="Arial"/>
        </w:rPr>
        <w:t>ti</w:t>
      </w:r>
      <w:r>
        <w:rPr/>
        <w:t>cipante, desde que haja prévia anuência do órgão ou da en</w:t>
      </w:r>
      <w:r>
        <w:rPr>
          <w:rFonts w:eastAsia="Arial"/>
        </w:rPr>
        <w:t>ti</w:t>
      </w:r>
      <w:r>
        <w:rPr/>
        <w:t>dade que sofrer redução dos quantitativos informados.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Caso o remanejamento seja feito entre órgãos ou en</w:t>
      </w:r>
      <w:r>
        <w:rPr>
          <w:rFonts w:eastAsia="Arial"/>
        </w:rPr>
        <w:t>ti</w:t>
      </w:r>
      <w:r>
        <w:rPr/>
        <w:t>dades dos Estados, do Distrito Federal ou de Municípios dis</w:t>
      </w:r>
      <w:r>
        <w:rPr>
          <w:rFonts w:eastAsia="Arial"/>
        </w:rPr>
        <w:t>ti</w:t>
      </w:r>
      <w:r>
        <w:rPr/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spacing w:before="120" w:after="120"/>
        <w:ind w:left="0" w:hanging="0"/>
        <w:rPr/>
      </w:pPr>
      <w:r>
        <w:rPr/>
        <w:t>Na hipótese da compra centralizada, não havendo indicação pelo órgão ou pela en</w:t>
      </w:r>
      <w:r>
        <w:rPr>
          <w:rFonts w:eastAsia="Arial"/>
        </w:rPr>
        <w:t>ti</w:t>
      </w:r>
      <w:r>
        <w:rPr/>
        <w:t>dade gerenciadora, dos quan</w:t>
      </w:r>
      <w:r>
        <w:rPr>
          <w:rFonts w:eastAsia="Arial"/>
        </w:rPr>
        <w:t>ti</w:t>
      </w:r>
      <w:r>
        <w:rPr/>
        <w:t>ta</w:t>
      </w:r>
      <w:r>
        <w:rPr>
          <w:rFonts w:eastAsia="Arial"/>
        </w:rPr>
        <w:t>ti</w:t>
      </w:r>
      <w:r>
        <w:rPr/>
        <w:t>vos dos par</w:t>
      </w:r>
      <w:r>
        <w:rPr>
          <w:rFonts w:eastAsia="Arial"/>
        </w:rPr>
        <w:t>ti</w:t>
      </w:r>
      <w:r>
        <w:rPr/>
        <w:t xml:space="preserve">cipantes da compra centralizada, nos termos do item </w:t>
      </w:r>
      <w:r>
        <w:rPr/>
        <w:fldChar w:fldCharType="begin"/>
      </w:r>
      <w:r>
        <w:rPr/>
        <w:instrText> REF gerenciador_estimador_%25C3%25A9_partic_ \r \h </w:instrText>
      </w:r>
      <w:r>
        <w:rPr/>
        <w:fldChar w:fldCharType="separate"/>
      </w:r>
      <w:r>
        <w:rPr/>
        <w:t>36.1</w:t>
      </w:r>
      <w:r>
        <w:rPr/>
        <w:fldChar w:fldCharType="end"/>
      </w:r>
      <w:r>
        <w:rPr/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/>
      </w:pPr>
      <w:r>
        <w:rPr/>
        <w:t>CANCELAMENTO DO REGISTRO DO LICITANTE VENCEDOR E DOS PREÇOS REGISTRADOS</w:t>
      </w:r>
      <w:bookmarkStart w:id="5" w:name="cancelamento"/>
      <w:bookmarkEnd w:id="5"/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registro do fornecedor será cancelado pelo gerenciador, quando o fornecedor:</w:t>
      </w:r>
      <w:bookmarkStart w:id="6" w:name="cancelamento_do_fornecedor"/>
      <w:bookmarkEnd w:id="6"/>
    </w:p>
    <w:p>
      <w:pPr>
        <w:pStyle w:val="Nvel3"/>
        <w:numPr>
          <w:ilvl w:val="0"/>
          <w:numId w:val="1"/>
        </w:numPr>
        <w:rPr/>
      </w:pPr>
      <w:r>
        <w:rPr/>
        <w:t>Descumprir as condições da ata de registro de preços, sem motivo justificado;</w:t>
      </w:r>
    </w:p>
    <w:p>
      <w:pPr>
        <w:pStyle w:val="Nvel3"/>
        <w:numPr>
          <w:ilvl w:val="0"/>
          <w:numId w:val="1"/>
        </w:numPr>
        <w:rPr/>
      </w:pPr>
      <w:r>
        <w:rPr/>
        <w:t>Não re</w:t>
      </w:r>
      <w:r>
        <w:rPr>
          <w:rFonts w:eastAsia="Arial"/>
        </w:rPr>
        <w:t>ti</w:t>
      </w:r>
      <w:r>
        <w:rPr/>
        <w:t>rar a nota de empenho, ou instrumento equivalente, no prazo estabelecido pela Administração sem justificativa razoável;</w:t>
      </w:r>
    </w:p>
    <w:p>
      <w:pPr>
        <w:pStyle w:val="Nvel3"/>
        <w:numPr>
          <w:ilvl w:val="0"/>
          <w:numId w:val="1"/>
        </w:numPr>
        <w:rPr/>
      </w:pPr>
      <w:r>
        <w:rPr/>
        <w:t>Não aceitar manter seu preço registrado, na hipótese prevista no artigo 27, § 2º, do Decreto nº 11.462, de 2023; ou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 </w:t>
      </w:r>
      <w:r>
        <w:rPr/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left="567" w:hanging="0"/>
        <w:rPr/>
      </w:pPr>
      <w:r>
        <w:rPr/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 </w:t>
      </w:r>
      <w:r>
        <w:rPr/>
        <w:t xml:space="preserve">O cancelamento de registros nas hipóteses previstas no item </w:t>
      </w:r>
      <w:r>
        <w:rPr/>
        <w:fldChar w:fldCharType="begin"/>
      </w:r>
      <w:r>
        <w:rPr/>
        <w:instrText> REF cancelamento_do_fornecedor \r \h </w:instrText>
      </w:r>
      <w:r>
        <w:rPr/>
        <w:fldChar w:fldCharType="separate"/>
      </w:r>
      <w:r>
        <w:rPr/>
        <w:t>37.1</w:t>
      </w:r>
      <w:r>
        <w:rPr/>
        <w:fldChar w:fldCharType="end"/>
      </w:r>
      <w:r>
        <w:rPr/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7" w:name="cancelamento_da_ata"/>
      <w:bookmarkEnd w:id="7"/>
      <w:r>
        <w:rPr/>
        <w:t xml:space="preserve"> </w:t>
      </w:r>
    </w:p>
    <w:p>
      <w:pPr>
        <w:pStyle w:val="Nvel3"/>
        <w:numPr>
          <w:ilvl w:val="0"/>
          <w:numId w:val="1"/>
        </w:numPr>
        <w:rPr/>
      </w:pPr>
      <w:r>
        <w:rPr/>
        <w:t>Por razão de interesse público;</w:t>
      </w:r>
    </w:p>
    <w:p>
      <w:pPr>
        <w:pStyle w:val="Nvel3"/>
        <w:numPr>
          <w:ilvl w:val="0"/>
          <w:numId w:val="1"/>
        </w:numPr>
        <w:rPr/>
      </w:pPr>
      <w:r>
        <w:rPr/>
        <w:t>A pedido do fornecedor, decorrente de caso fortuito ou força maior; ou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spacing w:before="177" w:after="177"/>
        <w:ind w:left="0" w:hanging="0"/>
        <w:rPr/>
      </w:pPr>
      <w:r>
        <w:rPr/>
        <w:t>DAS PENALIDADES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 xml:space="preserve">O descumprimento da Ata de Registro de Preços ensejará aplicação das penalidades estabelecidas </w:t>
      </w:r>
      <w:r>
        <w:rPr>
          <w:iCs/>
        </w:rPr>
        <w:t>no</w:t>
      </w:r>
      <w:r>
        <w:rPr>
          <w:i/>
        </w:rPr>
        <w:t xml:space="preserve"> </w:t>
      </w:r>
      <w:r>
        <w:rPr>
          <w:i w:val="false"/>
          <w:iCs w:val="false"/>
          <w:color w:val="000000"/>
        </w:rPr>
        <w:t>edital</w:t>
      </w:r>
      <w:r>
        <w:rPr/>
        <w:t>.</w:t>
      </w:r>
    </w:p>
    <w:p>
      <w:pPr>
        <w:pStyle w:val="Nvel3"/>
        <w:numPr>
          <w:ilvl w:val="0"/>
          <w:numId w:val="1"/>
        </w:numPr>
        <w:rPr/>
      </w:pPr>
      <w:r>
        <w:rPr/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É da competência do gerenciador a aplicação das penalidades decorrentes do descumprimento do pactuado nesta ata de registro de preço (art. 7º, XIV, do Decreto nº 11.462, de 2023), exceto nas hipóteses em que o descumprimento disser respeito às contratações dos órgãos ou entidade participante, caso no qual caberá ao respectivo órgão participante a aplicação da penalidade (art. 8º, IX, do Decreto nº 11.462, de 2023).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spacing w:before="234" w:after="234"/>
        <w:ind w:left="0" w:hanging="0"/>
        <w:rPr/>
      </w:pPr>
      <w:r>
        <w:rPr/>
        <w:t>CONDIÇÕES GERAIS</w:t>
      </w:r>
    </w:p>
    <w:p>
      <w:pPr>
        <w:pStyle w:val="Nivel2"/>
        <w:numPr>
          <w:ilvl w:val="1"/>
          <w:numId w:val="1"/>
        </w:numPr>
        <w:ind w:left="0" w:hanging="0"/>
        <w:rPr/>
      </w:pPr>
      <w:r>
        <w:rPr/>
        <w:t>As condições gerais de execução do objeto, tais como os prazos para entrega e recebimento, as obrigações da Administração e do fornecedor registrado, pe</w:t>
      </w:r>
      <w:r>
        <w:rPr>
          <w:b w:val="false"/>
          <w:bCs w:val="false"/>
          <w:color w:val="000000"/>
        </w:rPr>
        <w:t>nalidades e demais condições do ajuste, encontram-se definidos no Termo de Referência, anexo ao</w:t>
      </w:r>
      <w:r>
        <w:rPr>
          <w:b w:val="false"/>
          <w:bCs w:val="false"/>
          <w:i/>
          <w:color w:val="000000"/>
        </w:rPr>
        <w:t xml:space="preserve"> </w:t>
      </w:r>
      <w:r>
        <w:rPr>
          <w:b w:val="false"/>
          <w:bCs w:val="false"/>
          <w:i w:val="false"/>
          <w:iCs w:val="false"/>
          <w:color w:val="000000"/>
        </w:rPr>
        <w:t>edital.</w:t>
      </w:r>
    </w:p>
    <w:p>
      <w:pPr>
        <w:pStyle w:val="Normal"/>
        <w:widowControl w:val="false"/>
        <w:spacing w:lineRule="auto" w:line="276" w:before="120" w:after="120"/>
        <w:jc w:val="both"/>
        <w:rPr/>
      </w:pPr>
      <w:r>
        <w:rPr>
          <w:rFonts w:cs="Arial" w:ascii="Arial" w:hAnsi="Arial"/>
          <w:sz w:val="20"/>
          <w:szCs w:val="20"/>
        </w:rPr>
        <w:t>Para firmeza e validade do pactuado, a presente Ata foi lavrada em</w:t>
      </w: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>2</w:t>
      </w: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>(</w:t>
      </w:r>
      <w:r>
        <w:rPr>
          <w:rFonts w:cs="Arial" w:ascii="Arial" w:hAnsi="Arial"/>
          <w:color w:val="000000"/>
          <w:sz w:val="20"/>
          <w:szCs w:val="20"/>
        </w:rPr>
        <w:t>duas</w:t>
      </w:r>
      <w:r>
        <w:rPr>
          <w:rFonts w:cs="Arial" w:ascii="Arial" w:hAnsi="Arial"/>
          <w:color w:val="000000"/>
          <w:sz w:val="20"/>
          <w:szCs w:val="20"/>
        </w:rPr>
        <w:t>) vi</w:t>
      </w:r>
      <w:r>
        <w:rPr>
          <w:rFonts w:cs="Arial" w:ascii="Arial" w:hAnsi="Arial"/>
          <w:sz w:val="20"/>
          <w:szCs w:val="20"/>
        </w:rPr>
        <w:t>as de igual teor, que, depois de lida e achada em ordem, vai assinada pelas partes</w:t>
      </w:r>
      <w:r>
        <w:rPr>
          <w:rFonts w:cs="Arial" w:ascii="Arial" w:hAnsi="Arial"/>
          <w:i/>
          <w:iCs/>
          <w:color w:val="FF0000"/>
          <w:sz w:val="20"/>
          <w:szCs w:val="20"/>
        </w:rPr>
        <w:t>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/>
          <w:i/>
          <w:iCs/>
          <w:color w:val="FF0000"/>
          <w:sz w:val="20"/>
          <w:szCs w:val="20"/>
        </w:rPr>
      </w:pPr>
      <w:r>
        <w:rPr/>
      </w:r>
    </w:p>
    <w:p>
      <w:pPr>
        <w:pStyle w:val="Normal"/>
        <w:widowControl w:val="false"/>
        <w:spacing w:lineRule="auto" w:line="360"/>
        <w:ind w:right="-30" w:hanging="0"/>
        <w:jc w:val="center"/>
        <w:rPr/>
      </w:pPr>
      <w:r>
        <w:rPr>
          <w:rFonts w:cs="Arial" w:ascii="Arial" w:hAnsi="Arial"/>
          <w:sz w:val="20"/>
          <w:szCs w:val="20"/>
        </w:rPr>
        <w:t>Rio de Janeiro,  XX,  de XXXX de 2025.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 w:val="false"/>
        <w:ind w:right="-30" w:hanging="0"/>
        <w:jc w:val="center"/>
        <w:rPr/>
      </w:pPr>
      <w:r>
        <w:rPr>
          <w:rFonts w:ascii="Arial" w:hAnsi="Arial"/>
          <w:sz w:val="20"/>
          <w:szCs w:val="20"/>
        </w:rPr>
        <w:t>____________________________________</w:t>
      </w:r>
    </w:p>
    <w:p>
      <w:pPr>
        <w:pStyle w:val="Normal"/>
        <w:ind w:right="111" w:hanging="0"/>
        <w:jc w:val="center"/>
        <w:rPr/>
      </w:pPr>
      <w:r>
        <w:rPr>
          <w:rFonts w:eastAsia="MS Mincho" w:cs="Arial" w:ascii="Arial" w:hAnsi="Arial"/>
          <w:b/>
          <w:bCs/>
          <w:color w:val="000000"/>
          <w:sz w:val="20"/>
          <w:szCs w:val="20"/>
        </w:rPr>
        <w:t xml:space="preserve">ADRIANO </w:t>
      </w:r>
      <w:r>
        <w:rPr>
          <w:rFonts w:eastAsia="MS Mincho" w:cs="Arial" w:ascii="Arial" w:hAnsi="Arial"/>
          <w:b w:val="false"/>
          <w:bCs w:val="false"/>
          <w:color w:val="000000"/>
          <w:sz w:val="20"/>
          <w:szCs w:val="20"/>
        </w:rPr>
        <w:t>MACHADO VIANA</w:t>
      </w:r>
      <w:r>
        <w:rPr>
          <w:rFonts w:eastAsia="MS Mincho" w:cs="Arial" w:ascii="Arial" w:hAnsi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 – Maj</w:t>
      </w:r>
    </w:p>
    <w:p>
      <w:pPr>
        <w:pStyle w:val="Normal"/>
        <w:widowControl w:val="false"/>
        <w:ind w:left="114" w:right="111" w:hanging="0"/>
        <w:jc w:val="center"/>
        <w:rPr/>
      </w:pPr>
      <w:r>
        <w:rPr>
          <w:rFonts w:ascii="Arial" w:hAnsi="Arial"/>
          <w:sz w:val="20"/>
          <w:szCs w:val="20"/>
        </w:rPr>
        <w:t>Ordenador de Despesas do Cmdo 1ª RM</w:t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widowControl w:val="false"/>
        <w:ind w:left="114" w:right="111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Corpodotexto"/>
        <w:spacing w:lineRule="auto" w:line="240" w:before="0" w:after="0"/>
        <w:jc w:val="center"/>
        <w:rPr/>
      </w:pPr>
      <w:r>
        <w:rPr>
          <w:rFonts w:ascii="Arial" w:hAnsi="Arial"/>
          <w:sz w:val="20"/>
          <w:szCs w:val="20"/>
          <w:shd w:fill="FFFF00" w:val="clear"/>
        </w:rPr>
        <w:t>ASSINATURA DIGITAL</w:t>
      </w:r>
    </w:p>
    <w:p>
      <w:pPr>
        <w:pStyle w:val="Corpodotexto"/>
        <w:spacing w:lineRule="auto" w:line="240" w:before="0" w:after="0"/>
        <w:jc w:val="center"/>
        <w:rPr/>
      </w:pPr>
      <w:r>
        <w:rPr>
          <w:rFonts w:ascii="Arial" w:hAnsi="Arial"/>
          <w:sz w:val="20"/>
          <w:szCs w:val="20"/>
          <w:shd w:fill="FFFF00" w:val="clear"/>
        </w:rPr>
        <w:t>________________________________</w:t>
      </w:r>
    </w:p>
    <w:p>
      <w:pPr>
        <w:pStyle w:val="Corpodotexto"/>
        <w:spacing w:lineRule="auto" w:line="240" w:before="0" w:after="0"/>
        <w:jc w:val="center"/>
        <w:rPr/>
      </w:pPr>
      <w:r>
        <w:rPr>
          <w:rFonts w:ascii="Arial" w:hAnsi="Arial"/>
          <w:sz w:val="20"/>
          <w:szCs w:val="20"/>
          <w:shd w:fill="FFFF00" w:val="clear"/>
        </w:rPr>
        <w:t>Nome: REPRESENTANTE LEGAL</w:t>
      </w:r>
    </w:p>
    <w:p>
      <w:pPr>
        <w:pStyle w:val="Corpodotexto"/>
        <w:spacing w:lineRule="auto" w:line="240" w:before="0" w:after="0"/>
        <w:jc w:val="center"/>
        <w:rPr/>
      </w:pPr>
      <w:r>
        <w:rPr>
          <w:rFonts w:ascii="Arial" w:hAnsi="Arial"/>
          <w:sz w:val="20"/>
          <w:szCs w:val="20"/>
          <w:shd w:fill="FFFF00" w:val="clear"/>
        </w:rPr>
        <w:t xml:space="preserve">CPF: </w:t>
      </w:r>
      <w:bookmarkStart w:id="8" w:name="__DdeLink__592_1551402437"/>
      <w:bookmarkEnd w:id="8"/>
      <w:r>
        <w:rPr>
          <w:rFonts w:ascii="Arial" w:hAnsi="Arial"/>
          <w:sz w:val="20"/>
          <w:szCs w:val="20"/>
          <w:shd w:fill="FFFF00" w:val="clear"/>
        </w:rPr>
        <w:t>REPRESENTANTE LEGAL</w:t>
      </w:r>
    </w:p>
    <w:p>
      <w:pPr>
        <w:pStyle w:val="Corpodotexto"/>
        <w:widowControl w:val="false"/>
        <w:spacing w:lineRule="auto" w:line="240" w:before="0" w:after="0"/>
        <w:ind w:right="-30" w:hanging="0"/>
        <w:jc w:val="center"/>
        <w:rPr/>
      </w:pPr>
      <w:r>
        <w:rPr>
          <w:rFonts w:cs="Arial" w:ascii="Arial" w:hAnsi="Arial"/>
          <w:color w:val="000000"/>
          <w:sz w:val="20"/>
          <w:szCs w:val="20"/>
          <w:shd w:fill="FFFF00" w:val="clear"/>
        </w:rPr>
        <w:t>IDT: REPRESENTANTE LEGAL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  <w:r>
        <w:br w:type="page"/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3"/>
        <w:gridCol w:w="1253"/>
        <w:gridCol w:w="1539"/>
        <w:gridCol w:w="1121"/>
        <w:gridCol w:w="1119"/>
        <w:gridCol w:w="841"/>
        <w:gridCol w:w="840"/>
        <w:gridCol w:w="850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92" w:type="dxa"/>
        <w:jc w:val="left"/>
        <w:tblInd w:w="10" w:type="dxa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5"/>
        <w:gridCol w:w="1333"/>
        <w:gridCol w:w="1253"/>
        <w:gridCol w:w="1539"/>
        <w:gridCol w:w="1121"/>
        <w:gridCol w:w="1119"/>
        <w:gridCol w:w="841"/>
        <w:gridCol w:w="840"/>
        <w:gridCol w:w="850"/>
      </w:tblGrid>
      <w:tr>
        <w:trPr>
          <w:trHeight w:val="511" w:hRule="atLeast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do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TR</w:t>
            </w:r>
          </w:p>
        </w:tc>
        <w:tc>
          <w:tcPr>
            <w:tcW w:w="88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Fornecedor </w:t>
            </w:r>
            <w:r>
              <w:rPr>
                <w:rFonts w:cs="Arial" w:ascii="Arial" w:hAnsi="Arial"/>
                <w:i/>
                <w:color w:val="FF0000"/>
                <w:sz w:val="16"/>
                <w:szCs w:val="16"/>
              </w:rPr>
              <w:t>[razão social, CNPJ/MF, endereço, contatos, representante]</w:t>
            </w:r>
          </w:p>
        </w:tc>
      </w:tr>
      <w:tr>
        <w:trPr>
          <w:trHeight w:val="6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Marca 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Modelo</w:t>
            </w:r>
          </w:p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Unidade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Máxima</w:t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Quantidade</w:t>
              <w:br/>
              <w:t>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Valor</w:t>
              <w:br/>
              <w:t>Unitário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ind w:right="-28" w:hanging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5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2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360"/>
              <w:ind w:right="-30" w:hanging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 w:hanging="0"/>
        <w:jc w:val="center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08" w:top="1418" w:footer="708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8496B0"/>
        <w:spacing w:val="60"/>
        <w:sz w:val="16"/>
        <w:szCs w:val="16"/>
      </w:rPr>
    </w:pPr>
    <w:r>
      <w:rPr>
        <w:color w:val="8496B0"/>
        <w:spacing w:val="60"/>
      </w:rPr>
      <w:tab/>
      <w:tab/>
    </w:r>
  </w:p>
  <w:p>
    <w:pPr>
      <w:pStyle w:val="Rodap"/>
      <w:rPr/>
    </w:pPr>
    <w:r>
      <w:rPr>
        <w:color w:val="7F7F7F"/>
        <w:spacing w:val="60"/>
      </w:rPr>
      <w:tab/>
      <w:tab/>
    </w:r>
    <w:r>
      <w:rPr>
        <w:rFonts w:cs="Arial" w:ascii="Arial" w:hAnsi="Arial"/>
        <w:color w:val="595959"/>
        <w:spacing w:val="60"/>
        <w:sz w:val="18"/>
        <w:szCs w:val="18"/>
      </w:rPr>
      <w:t>Página</w:t>
    </w:r>
    <w:r>
      <w:rPr>
        <w:rFonts w:cs="Arial" w:ascii="Arial" w:hAnsi="Arial"/>
        <w:color w:val="595959"/>
        <w:sz w:val="18"/>
        <w:szCs w:val="18"/>
      </w:rPr>
      <w:t xml:space="preserve"> </w:t>
    </w:r>
    <w:r>
      <w:rPr>
        <w:rFonts w:cs="Arial" w:ascii="Arial" w:hAnsi="Arial"/>
        <w:sz w:val="18"/>
        <w:szCs w:val="18"/>
      </w:rPr>
      <w:fldChar w:fldCharType="begin"/>
    </w:r>
    <w:r>
      <w:rPr>
        <w:sz w:val="18"/>
        <w:szCs w:val="18"/>
        <w:rFonts w:cs="Arial" w:ascii="Arial" w:hAnsi="Arial"/>
      </w:rPr>
      <w:instrText> PAGE </w:instrText>
    </w:r>
    <w:r>
      <w:rPr>
        <w:sz w:val="18"/>
        <w:szCs w:val="18"/>
        <w:rFonts w:cs="Arial" w:ascii="Arial" w:hAnsi="Arial"/>
      </w:rPr>
      <w:fldChar w:fldCharType="separate"/>
    </w:r>
    <w:r>
      <w:rPr>
        <w:sz w:val="18"/>
        <w:szCs w:val="18"/>
        <w:rFonts w:cs="Arial" w:ascii="Arial" w:hAnsi="Arial"/>
      </w:rPr>
      <w:t>8</w:t>
    </w:r>
    <w:r>
      <w:rPr>
        <w:sz w:val="18"/>
        <w:szCs w:val="18"/>
        <w:rFonts w:cs="Arial" w:ascii="Arial" w:hAnsi="Arial"/>
      </w:rPr>
      <w:fldChar w:fldCharType="end"/>
    </w:r>
    <w:r>
      <w:rPr>
        <w:rFonts w:cs="Arial" w:ascii="Arial" w:hAnsi="Arial"/>
        <w:color w:val="595959"/>
        <w:sz w:val="18"/>
        <w:szCs w:val="18"/>
      </w:rPr>
      <w:t xml:space="preserve"> | </w:t>
    </w:r>
    <w:r>
      <w:rPr>
        <w:rFonts w:cs="Arial" w:ascii="Arial" w:hAnsi="Arial"/>
        <w:sz w:val="18"/>
        <w:szCs w:val="18"/>
      </w:rPr>
      <w:fldChar w:fldCharType="begin"/>
    </w:r>
    <w:r>
      <w:rPr>
        <w:sz w:val="18"/>
        <w:szCs w:val="18"/>
        <w:rFonts w:cs="Arial" w:ascii="Arial" w:hAnsi="Arial"/>
      </w:rPr>
      <w:instrText> NUMPAGES </w:instrText>
    </w:r>
    <w:r>
      <w:rPr>
        <w:sz w:val="18"/>
        <w:szCs w:val="18"/>
        <w:rFonts w:cs="Arial" w:ascii="Arial" w:hAnsi="Arial"/>
      </w:rPr>
      <w:fldChar w:fldCharType="separate"/>
    </w:r>
    <w:r>
      <w:rPr>
        <w:sz w:val="18"/>
        <w:szCs w:val="18"/>
        <w:rFonts w:cs="Arial" w:ascii="Arial" w:hAnsi="Arial"/>
      </w:rPr>
      <w:t>8</w:t>
    </w:r>
    <w:r>
      <w:rPr>
        <w:sz w:val="18"/>
        <w:szCs w:val="18"/>
        <w:rFonts w:cs="Arial" w:ascii="Arial" w:hAnsi="Arial"/>
      </w:rPr>
      <w:fldChar w:fldCharType="end"/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Câmara Nacional de Modelos de Licitações e Contratos da Consultoria-Geral da União</w:t>
    </w:r>
  </w:p>
  <w:p>
    <w:pPr>
      <w:pStyle w:val="Rodap"/>
      <w:rPr>
        <w:rFonts w:ascii="Arial" w:hAnsi="Arial"/>
        <w:color w:val="222A35"/>
        <w:sz w:val="14"/>
      </w:rPr>
    </w:pPr>
    <w:r>
      <w:rPr>
        <w:rFonts w:cs="Arial" w:ascii="Arial" w:hAnsi="Arial"/>
        <w:sz w:val="14"/>
        <w:szCs w:val="14"/>
      </w:rPr>
      <w:t xml:space="preserve">Modelo de </w:t>
    </w:r>
    <w:r>
      <w:rPr>
        <w:rFonts w:ascii="Arial" w:hAnsi="Arial"/>
        <w:sz w:val="14"/>
      </w:rPr>
      <w:t>Modelo Ata de Registro de Preços - Lei nº 14.133, de 2021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Aprovado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ascii="Arial" w:hAnsi="Arial"/>
        <w:sz w:val="14"/>
      </w:rPr>
      <w:t>Identidade visual pela Secretaria de Gestão e Inovação</w:t>
    </w:r>
  </w:p>
  <w:p>
    <w:pPr>
      <w:pStyle w:val="Rodap"/>
      <w:rPr>
        <w:rFonts w:ascii="Arial" w:hAnsi="Arial"/>
        <w:sz w:val="14"/>
      </w:rPr>
    </w:pPr>
    <w:r>
      <w:rPr>
        <w:rFonts w:cs="Arial" w:ascii="Arial" w:hAnsi="Arial"/>
        <w:sz w:val="14"/>
        <w:szCs w:val="14"/>
      </w:rPr>
      <w:t>Atualização: ABR/2025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bidi w:val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LinkdaInternet">
    <w:name w:val="Link da Internet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link w:val="Ttulo1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ListLabel1">
    <w:name w:val="ListLabel 1"/>
    <w:qFormat/>
    <w:rPr>
      <w:b/>
      <w:color w:val="auto"/>
    </w:rPr>
  </w:style>
  <w:style w:type="character" w:styleId="ListLabel2">
    <w:name w:val="ListLabel 2"/>
    <w:qFormat/>
    <w:rPr>
      <w:sz w:val="20"/>
      <w:szCs w:val="20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7">
    <w:name w:val="ListLabel 7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8">
    <w:name w:val="ListLabel 8"/>
    <w:qFormat/>
    <w:rPr>
      <w:b/>
    </w:rPr>
  </w:style>
  <w:style w:type="character" w:styleId="ListLabel9">
    <w:name w:val="ListLabel 9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0">
    <w:name w:val="ListLabel 10"/>
    <w:qFormat/>
    <w:rPr>
      <w:rFonts w:cs="Arial"/>
      <w:b w:val="false"/>
      <w:i w:val="false"/>
      <w:strike w:val="false"/>
      <w:dstrike w:val="false"/>
      <w:color w:val="auto"/>
      <w:sz w:val="20"/>
      <w:szCs w:val="20"/>
      <w:u w:val="none"/>
      <w:effect w:val="none"/>
    </w:rPr>
  </w:style>
  <w:style w:type="character" w:styleId="ListLabel11">
    <w:name w:val="ListLabel 11"/>
    <w:qFormat/>
    <w:rPr>
      <w:i w:val="false"/>
      <w:iCs/>
      <w:color w:val="auto"/>
    </w:rPr>
  </w:style>
  <w:style w:type="character" w:styleId="ListLabel12">
    <w:name w:val="ListLabel 12"/>
    <w:qFormat/>
    <w:rPr>
      <w:b/>
      <w:color w:val="auto"/>
    </w:rPr>
  </w:style>
  <w:style w:type="character" w:styleId="ListLabel13">
    <w:name w:val="ListLabel 13"/>
    <w:qFormat/>
    <w:rPr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bidi w:val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link w:val="Nvel3-RChar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LibreOffice/6.2.8.2$Windows_X86_64 LibreOffice_project/f82ddfca21ebc1e222a662a32b25c0c9d20169ee</Application>
  <Pages>8</Pages>
  <Words>2909</Words>
  <Characters>16082</Characters>
  <CharactersWithSpaces>18770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2025-03-21T11:23:00Z</dcterms:created>
  <dc:creator/>
  <dc:description/>
  <dc:language>pt-BR</dc:language>
  <cp:lastModifiedBy/>
  <dcterms:modified xsi:type="dcterms:W3CDTF">2025-11-12T09:16:32Z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